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南银理财珠联璧合鑫逸稳一年82期封闭式公募人民币理财产品</w:t>
            </w:r>
          </w:p>
        </w:tc>
      </w:tr>
      <w:tr w:rsidR="00B31DA4" w:rsidTr="00CC752E">
        <w:trPr>
          <w:trHeight w:val="1300"/>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Z7003222000068（投资者可依据该编码在中国理财网www.chinawealth.com.cn查询理财产品相关信息）</w:t>
            </w:r>
          </w:p>
        </w:tc>
      </w:tr>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2022年10月19日</w:t>
            </w:r>
          </w:p>
        </w:tc>
      </w:tr>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872,603,308.00份</w:t>
            </w:r>
          </w:p>
        </w:tc>
      </w:tr>
      <w:tr w:rsidR="00B31DA4" w:rsidTr="00CC752E">
        <w:trPr>
          <w:trHeight w:val="688"/>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CC752E">
        <w:trPr>
          <w:trHeight w:val="714"/>
          <w:jc w:val="center"/>
        </w:trPr>
        <w:tc>
          <w:tcPr>
            <w:tcW w:w="2719"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CC752E">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CC752E">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A191C">
        <w:trPr>
          <w:trHeight w:val="565"/>
          <w:jc w:val="center"/>
        </w:trPr>
        <w:tc>
          <w:tcPr>
            <w:tcW w:w="1838"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Y30082</w:t>
            </w:r>
          </w:p>
        </w:tc>
        <w:tc>
          <w:tcPr>
            <w:tcW w:w="2693" w:type="dxa"/>
            <w:vAlign w:val="center"/>
          </w:tcPr>
          <w:p w:rsidR="00FA191C" w:rsidRPr="00CC752E" w:rsidRDefault="00CC752E" w:rsidP="00CC752E">
            <w:pPr>
              <w:spacing w:beforeLines="20" w:afterLines="20"/>
              <w:jc w:val="center"/>
              <w:textAlignment w:val="center"/>
              <w:rPr>
                <w:rFonts w:ascii="方正仿宋_GBK" w:eastAsia="方正仿宋_GBK" w:hAnsi="仿宋_GB2312" w:cs="仿宋_GB2312"/>
                <w:sz w:val="24"/>
                <w:szCs w:val="24"/>
              </w:rPr>
            </w:pPr>
            <w:r w:rsidRPr="00CC752E">
              <w:rPr>
                <w:rFonts w:ascii="方正仿宋_GBK" w:eastAsia="方正仿宋_GBK" w:hAnsi="仿宋_GB2312" w:cs="仿宋_GB2312" w:hint="eastAsia"/>
                <w:sz w:val="24"/>
                <w:szCs w:val="24"/>
              </w:rPr>
              <w:t>72,701,871.70</w:t>
            </w:r>
          </w:p>
        </w:tc>
        <w:tc>
          <w:tcPr>
            <w:tcW w:w="241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1.0105</w:t>
            </w:r>
          </w:p>
        </w:tc>
        <w:tc>
          <w:tcPr>
            <w:tcW w:w="212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1.0105</w:t>
            </w:r>
          </w:p>
        </w:tc>
      </w:tr>
      <w:tr w:rsidR="00FA191C">
        <w:trPr>
          <w:trHeight w:val="565"/>
          <w:jc w:val="center"/>
        </w:trPr>
        <w:tc>
          <w:tcPr>
            <w:tcW w:w="1838"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Y31082</w:t>
            </w:r>
          </w:p>
        </w:tc>
        <w:tc>
          <w:tcPr>
            <w:tcW w:w="2693" w:type="dxa"/>
            <w:vAlign w:val="center"/>
          </w:tcPr>
          <w:p w:rsidR="00FA191C" w:rsidRPr="00CC752E" w:rsidRDefault="00CC752E" w:rsidP="00CC752E">
            <w:pPr>
              <w:spacing w:beforeLines="20" w:afterLines="20"/>
              <w:jc w:val="center"/>
              <w:textAlignment w:val="center"/>
              <w:rPr>
                <w:rFonts w:ascii="方正仿宋_GBK" w:eastAsia="方正仿宋_GBK" w:hAnsi="仿宋_GB2312" w:cs="仿宋_GB2312"/>
                <w:sz w:val="24"/>
                <w:szCs w:val="24"/>
              </w:rPr>
            </w:pPr>
            <w:r w:rsidRPr="00CC752E">
              <w:rPr>
                <w:rFonts w:ascii="方正仿宋_GBK" w:eastAsia="方正仿宋_GBK" w:hAnsi="仿宋_GB2312" w:cs="仿宋_GB2312" w:hint="eastAsia"/>
                <w:sz w:val="24"/>
                <w:szCs w:val="24"/>
              </w:rPr>
              <w:t>657,786,093.08</w:t>
            </w:r>
          </w:p>
        </w:tc>
        <w:tc>
          <w:tcPr>
            <w:tcW w:w="241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w:t>
            </w:r>
            <w:r w:rsidR="00CC752E">
              <w:rPr>
                <w:rFonts w:ascii="方正仿宋_GBK" w:eastAsia="方正仿宋_GBK" w:hAnsi="方正仿宋_GBK" w:cs="方正仿宋_GBK" w:hint="eastAsia"/>
                <w:sz w:val="24"/>
              </w:rPr>
              <w:t>09</w:t>
            </w:r>
          </w:p>
        </w:tc>
        <w:tc>
          <w:tcPr>
            <w:tcW w:w="2126" w:type="dxa"/>
            <w:vAlign w:val="center"/>
          </w:tcPr>
          <w:p w:rsidR="00FA191C" w:rsidRDefault="00CC752E"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w:t>
            </w:r>
            <w:r>
              <w:rPr>
                <w:rFonts w:ascii="方正仿宋_GBK" w:eastAsia="方正仿宋_GBK" w:hAnsi="方正仿宋_GBK" w:cs="方正仿宋_GBK" w:hint="eastAsia"/>
                <w:sz w:val="24"/>
              </w:rPr>
              <w:t>09</w:t>
            </w:r>
          </w:p>
        </w:tc>
      </w:tr>
      <w:tr w:rsidR="00FA191C">
        <w:trPr>
          <w:trHeight w:val="565"/>
          <w:jc w:val="center"/>
        </w:trPr>
        <w:tc>
          <w:tcPr>
            <w:tcW w:w="1838"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Y32082</w:t>
            </w:r>
          </w:p>
        </w:tc>
        <w:tc>
          <w:tcPr>
            <w:tcW w:w="2693" w:type="dxa"/>
            <w:vAlign w:val="center"/>
          </w:tcPr>
          <w:p w:rsidR="00FA191C" w:rsidRPr="00CC752E" w:rsidRDefault="00CC752E" w:rsidP="00CC752E">
            <w:pPr>
              <w:spacing w:beforeLines="20" w:afterLines="20"/>
              <w:jc w:val="center"/>
              <w:textAlignment w:val="center"/>
              <w:rPr>
                <w:rFonts w:ascii="方正仿宋_GBK" w:eastAsia="方正仿宋_GBK" w:hAnsi="仿宋_GB2312" w:cs="仿宋_GB2312"/>
                <w:sz w:val="24"/>
                <w:szCs w:val="24"/>
              </w:rPr>
            </w:pPr>
            <w:r w:rsidRPr="00CC752E">
              <w:rPr>
                <w:rFonts w:ascii="方正仿宋_GBK" w:eastAsia="方正仿宋_GBK" w:hAnsi="仿宋_GB2312" w:cs="仿宋_GB2312" w:hint="eastAsia"/>
                <w:sz w:val="24"/>
                <w:szCs w:val="24"/>
              </w:rPr>
              <w:t>151,711,190.21</w:t>
            </w:r>
          </w:p>
        </w:tc>
        <w:tc>
          <w:tcPr>
            <w:tcW w:w="241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1.011</w:t>
            </w:r>
            <w:r w:rsidR="00CC752E">
              <w:rPr>
                <w:rFonts w:ascii="方正仿宋_GBK" w:eastAsia="方正仿宋_GBK" w:hAnsi="方正仿宋_GBK" w:cs="方正仿宋_GBK" w:hint="eastAsia"/>
                <w:sz w:val="24"/>
              </w:rPr>
              <w:t>4</w:t>
            </w:r>
          </w:p>
        </w:tc>
        <w:tc>
          <w:tcPr>
            <w:tcW w:w="212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1.011</w:t>
            </w:r>
            <w:r w:rsidR="00CC752E">
              <w:rPr>
                <w:rFonts w:ascii="方正仿宋_GBK" w:eastAsia="方正仿宋_GBK" w:hAnsi="方正仿宋_GBK" w:cs="方正仿宋_GBK" w:hint="eastAsia"/>
                <w:sz w:val="24"/>
              </w:rPr>
              <w:t>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t>
      </w:r>
      <w:r>
        <w:rPr>
          <w:rFonts w:ascii="方正仿宋_GBK" w:eastAsia="方正仿宋_GBK" w:hAnsiTheme="minorHAnsi" w:cstheme="minorBidi" w:hint="eastAsia"/>
          <w:sz w:val="24"/>
          <w:szCs w:val="24"/>
        </w:rPr>
        <w:t xml:space="preserve">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r>
      <w:r>
        <w:rPr>
          <w:rFonts w:ascii="方正仿宋_GBK" w:eastAsia="方正仿宋_GBK" w:hAnsiTheme="minorHAnsi" w:cstheme="minorBidi" w:hint="eastAsia"/>
          <w:sz w:val="24"/>
          <w:szCs w:val="24"/>
        </w:rPr>
        <w:br w:type="textWrapping" w:clear="all"/>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w:t>
      </w:r>
      <w:r>
        <w:rPr>
          <w:rFonts w:ascii="方正仿宋_GBK" w:eastAsia="方正仿宋_GBK" w:hAnsiTheme="minorHAnsi" w:cstheme="minorBidi" w:hint="eastAsia"/>
          <w:sz w:val="24"/>
          <w:szCs w:val="24"/>
        </w:rPr>
        <w:lastRenderedPageBreak/>
        <w:t>会持续关注理财规模的变化对信用债需求端的支撑，4月政治局会议政策层面的变化。结合来看，倾向于认为二季度债市调整风险可控，在这种背景下，票息策略可能仍相对占优。</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截至报告期末，本产品Y30082份额净值为1.0105元，Y31082份额净值为1.01</w:t>
      </w:r>
      <w:r w:rsidR="00CC752E">
        <w:rPr>
          <w:rFonts w:ascii="方正仿宋_GBK" w:eastAsia="方正仿宋_GBK" w:hAnsiTheme="minorHAnsi" w:cstheme="minorBidi" w:hint="eastAsia"/>
          <w:sz w:val="24"/>
          <w:szCs w:val="24"/>
        </w:rPr>
        <w:t>09</w:t>
      </w:r>
      <w:r>
        <w:rPr>
          <w:rFonts w:ascii="方正仿宋_GBK" w:eastAsia="方正仿宋_GBK" w:hAnsiTheme="minorHAnsi" w:cstheme="minorBidi" w:hint="eastAsia"/>
          <w:sz w:val="24"/>
          <w:szCs w:val="24"/>
        </w:rPr>
        <w:t>元，Y32082份额净值为1.011</w:t>
      </w:r>
      <w:r w:rsidR="00CC752E">
        <w:rPr>
          <w:rFonts w:ascii="方正仿宋_GBK" w:eastAsia="方正仿宋_GBK" w:hAnsiTheme="minorHAnsi" w:cstheme="minorBidi" w:hint="eastAsia"/>
          <w:sz w:val="24"/>
          <w:szCs w:val="24"/>
        </w:rPr>
        <w:t>4</w:t>
      </w:r>
      <w:r>
        <w:rPr>
          <w:rFonts w:ascii="方正仿宋_GBK" w:eastAsia="方正仿宋_GBK" w:hAnsiTheme="minorHAnsi" w:cstheme="minorBidi" w:hint="eastAsia"/>
          <w:sz w:val="24"/>
          <w:szCs w:val="24"/>
        </w:rPr>
        <w:t>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w:t>
            </w:r>
            <w:r>
              <w:rPr>
                <w:rFonts w:ascii="方正仿宋_GBK" w:eastAsia="方正仿宋_GBK" w:hAnsi="仿宋_GB2312" w:cs="仿宋_GB2312" w:hint="eastAsia"/>
                <w:sz w:val="24"/>
                <w:szCs w:val="24"/>
              </w:rPr>
              <w:lastRenderedPageBreak/>
              <w:t>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51</w:t>
            </w:r>
            <w:r>
              <w:rPr>
                <w:rFonts w:ascii="方正仿宋_GBK" w:eastAsia="方正仿宋_GBK" w:hAnsi="方正仿宋_GBK" w:cs="方正仿宋_GBK"/>
                <w:sz w:val="24"/>
              </w:rPr>
              <w:t>号</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402,495,913.38</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45.6</w:t>
            </w:r>
            <w:r w:rsidR="00CC752E">
              <w:rPr>
                <w:rFonts w:ascii="方正仿宋_GBK" w:eastAsia="方正仿宋_GBK" w:hAnsi="方正仿宋_GBK" w:cs="方正仿宋_GBK" w:hint="eastAsia"/>
                <w:sz w:val="24"/>
              </w:rPr>
              <w:t>2</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22881333</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泰交通</w:t>
            </w:r>
            <w:r>
              <w:rPr>
                <w:rFonts w:ascii="方正仿宋_GBK" w:eastAsia="方正仿宋_GBK" w:hAnsi="方正仿宋_GBK" w:cs="方正仿宋_GBK"/>
                <w:sz w:val="24"/>
              </w:rPr>
              <w:t>04</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138,000,000.00</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15.64</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22881429</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邗江城建</w:t>
            </w:r>
            <w:r>
              <w:rPr>
                <w:rFonts w:ascii="方正仿宋_GBK" w:eastAsia="方正仿宋_GBK" w:hAnsi="方正仿宋_GBK" w:cs="方正仿宋_GBK"/>
                <w:sz w:val="24"/>
              </w:rPr>
              <w:t>01</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120,000,000.00</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13.60</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22881393</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淮安新城</w:t>
            </w:r>
            <w:r>
              <w:rPr>
                <w:rFonts w:ascii="方正仿宋_GBK" w:eastAsia="方正仿宋_GBK" w:hAnsi="方正仿宋_GBK" w:cs="方正仿宋_GBK"/>
                <w:sz w:val="24"/>
              </w:rPr>
              <w:t>09</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110,000,000.00</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12.4</w:t>
            </w:r>
            <w:r w:rsidR="00CC752E">
              <w:rPr>
                <w:rFonts w:ascii="方正仿宋_GBK" w:eastAsia="方正仿宋_GBK" w:hAnsi="方正仿宋_GBK" w:cs="方正仿宋_GBK" w:hint="eastAsia"/>
                <w:sz w:val="24"/>
              </w:rPr>
              <w:t>7</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w:t>
            </w:r>
            <w:r>
              <w:rPr>
                <w:rFonts w:ascii="方正仿宋_GBK" w:eastAsia="方正仿宋_GBK" w:hAnsi="方正仿宋_GBK" w:cs="方正仿宋_GBK"/>
                <w:sz w:val="24"/>
              </w:rPr>
              <w:t>1</w:t>
            </w:r>
            <w:r>
              <w:rPr>
                <w:rFonts w:ascii="方正仿宋_GBK" w:eastAsia="方正仿宋_GBK" w:hAnsi="方正仿宋_GBK" w:cs="方正仿宋_GBK"/>
                <w:sz w:val="24"/>
              </w:rPr>
              <w:t>号集合资产管理计划</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50,425,987.74</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5.7</w:t>
            </w:r>
            <w:r w:rsidR="00CC752E">
              <w:rPr>
                <w:rFonts w:ascii="方正仿宋_GBK" w:eastAsia="方正仿宋_GBK" w:hAnsi="方正仿宋_GBK" w:cs="方正仿宋_GBK" w:hint="eastAsia"/>
                <w:sz w:val="24"/>
              </w:rPr>
              <w:t>2</w:t>
            </w:r>
          </w:p>
        </w:tc>
      </w:tr>
      <w:tr w:rsidR="00FA191C">
        <w:trPr>
          <w:trHeight w:val="583"/>
          <w:jc w:val="center"/>
        </w:trPr>
        <w:tc>
          <w:tcPr>
            <w:tcW w:w="751"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22881374</w:t>
            </w:r>
          </w:p>
        </w:tc>
        <w:tc>
          <w:tcPr>
            <w:tcW w:w="2720"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盛州集团</w:t>
            </w:r>
            <w:r>
              <w:rPr>
                <w:rFonts w:ascii="方正仿宋_GBK" w:eastAsia="方正仿宋_GBK" w:hAnsi="方正仿宋_GBK" w:cs="方正仿宋_GBK"/>
                <w:sz w:val="24"/>
              </w:rPr>
              <w:t>01</w:t>
            </w:r>
          </w:p>
        </w:tc>
        <w:tc>
          <w:tcPr>
            <w:tcW w:w="2058"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50,000,000.00</w:t>
            </w:r>
          </w:p>
        </w:tc>
        <w:tc>
          <w:tcPr>
            <w:tcW w:w="1812" w:type="dxa"/>
            <w:shd w:val="clear" w:color="000000" w:fill="FFFFFF"/>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5.67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CC752E">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A191C">
        <w:trPr>
          <w:trHeight w:val="571"/>
          <w:jc w:val="center"/>
        </w:trPr>
        <w:tc>
          <w:tcPr>
            <w:tcW w:w="877"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淮安新城投资开发有限公司</w:t>
            </w:r>
          </w:p>
        </w:tc>
        <w:tc>
          <w:tcPr>
            <w:tcW w:w="1275"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淮安新城</w:t>
            </w:r>
            <w:r>
              <w:rPr>
                <w:rFonts w:ascii="方正仿宋_GBK" w:eastAsia="方正仿宋_GBK" w:hAnsi="方正仿宋_GBK" w:cs="方正仿宋_GBK"/>
                <w:sz w:val="24"/>
              </w:rPr>
              <w:t>09</w:t>
            </w:r>
          </w:p>
        </w:tc>
        <w:tc>
          <w:tcPr>
            <w:tcW w:w="154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223</w:t>
            </w:r>
          </w:p>
        </w:tc>
        <w:tc>
          <w:tcPr>
            <w:tcW w:w="1383"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FA191C">
        <w:trPr>
          <w:trHeight w:val="571"/>
          <w:jc w:val="center"/>
        </w:trPr>
        <w:tc>
          <w:tcPr>
            <w:tcW w:w="877"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扬州市邗江城市建设发展有限公司</w:t>
            </w:r>
          </w:p>
        </w:tc>
        <w:tc>
          <w:tcPr>
            <w:tcW w:w="1275"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邗江城建</w:t>
            </w:r>
            <w:r>
              <w:rPr>
                <w:rFonts w:ascii="方正仿宋_GBK" w:eastAsia="方正仿宋_GBK" w:hAnsi="方正仿宋_GBK" w:cs="方正仿宋_GBK"/>
                <w:sz w:val="24"/>
              </w:rPr>
              <w:t>01</w:t>
            </w:r>
          </w:p>
        </w:tc>
        <w:tc>
          <w:tcPr>
            <w:tcW w:w="154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230</w:t>
            </w:r>
          </w:p>
        </w:tc>
        <w:tc>
          <w:tcPr>
            <w:tcW w:w="1383"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FA191C">
        <w:trPr>
          <w:trHeight w:val="571"/>
          <w:jc w:val="center"/>
        </w:trPr>
        <w:tc>
          <w:tcPr>
            <w:tcW w:w="877"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3</w:t>
            </w:r>
          </w:p>
        </w:tc>
        <w:tc>
          <w:tcPr>
            <w:tcW w:w="1704"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泰州市交通产业集团有限公司</w:t>
            </w:r>
          </w:p>
        </w:tc>
        <w:tc>
          <w:tcPr>
            <w:tcW w:w="1275"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泰交通</w:t>
            </w:r>
            <w:r>
              <w:rPr>
                <w:rFonts w:ascii="方正仿宋_GBK" w:eastAsia="方正仿宋_GBK" w:hAnsi="方正仿宋_GBK" w:cs="方正仿宋_GBK"/>
                <w:sz w:val="24"/>
              </w:rPr>
              <w:t>04</w:t>
            </w:r>
          </w:p>
        </w:tc>
        <w:tc>
          <w:tcPr>
            <w:tcW w:w="154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208</w:t>
            </w:r>
          </w:p>
        </w:tc>
        <w:tc>
          <w:tcPr>
            <w:tcW w:w="1383"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FA191C">
        <w:trPr>
          <w:trHeight w:val="571"/>
          <w:jc w:val="center"/>
        </w:trPr>
        <w:tc>
          <w:tcPr>
            <w:tcW w:w="877"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704"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盐城盛州集团有限公司</w:t>
            </w:r>
          </w:p>
        </w:tc>
        <w:tc>
          <w:tcPr>
            <w:tcW w:w="1275"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盛州集团</w:t>
            </w:r>
            <w:r>
              <w:rPr>
                <w:rFonts w:ascii="方正仿宋_GBK" w:eastAsia="方正仿宋_GBK" w:hAnsi="方正仿宋_GBK" w:cs="方正仿宋_GBK"/>
                <w:sz w:val="24"/>
              </w:rPr>
              <w:t>01</w:t>
            </w:r>
          </w:p>
        </w:tc>
        <w:tc>
          <w:tcPr>
            <w:tcW w:w="1540"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217</w:t>
            </w:r>
          </w:p>
        </w:tc>
        <w:tc>
          <w:tcPr>
            <w:tcW w:w="1383"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A191C" w:rsidRDefault="00173EB1" w:rsidP="00CC752E">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CC752E">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CC752E">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CC752E">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CC752E">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CC752E">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A191C">
        <w:trPr>
          <w:trHeight w:val="584"/>
          <w:jc w:val="center"/>
        </w:trPr>
        <w:tc>
          <w:tcPr>
            <w:tcW w:w="846" w:type="dxa"/>
            <w:vAlign w:val="center"/>
          </w:tcPr>
          <w:p w:rsidR="00FA191C" w:rsidRDefault="00173EB1" w:rsidP="00CC752E">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FA191C" w:rsidRDefault="00173EB1" w:rsidP="00CC752E">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A191C" w:rsidRDefault="00173EB1" w:rsidP="00CC752E">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0120030000000925</w:t>
            </w:r>
          </w:p>
        </w:tc>
        <w:tc>
          <w:tcPr>
            <w:tcW w:w="1983" w:type="dxa"/>
            <w:vAlign w:val="center"/>
          </w:tcPr>
          <w:p w:rsidR="00FA191C" w:rsidRDefault="00173EB1" w:rsidP="00CC752E">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南银理财鑫逸稳一年</w:t>
            </w:r>
            <w:r>
              <w:rPr>
                <w:rFonts w:ascii="方正仿宋_GBK" w:eastAsia="方正仿宋_GBK" w:hAnsi="方正仿宋_GBK" w:cs="方正仿宋_GBK"/>
                <w:sz w:val="24"/>
              </w:rPr>
              <w:t>82</w:t>
            </w:r>
            <w:r>
              <w:rPr>
                <w:rFonts w:ascii="方正仿宋_GBK" w:eastAsia="方正仿宋_GBK" w:hAnsi="方正仿宋_GBK" w:cs="方正仿宋_GBK"/>
                <w:sz w:val="24"/>
              </w:rPr>
              <w:t>期</w:t>
            </w:r>
          </w:p>
        </w:tc>
        <w:tc>
          <w:tcPr>
            <w:tcW w:w="1988" w:type="dxa"/>
            <w:vAlign w:val="center"/>
          </w:tcPr>
          <w:p w:rsidR="00FA191C" w:rsidRDefault="00173EB1" w:rsidP="00CC752E">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121,918.66</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EB1" w:rsidRDefault="00173EB1">
      <w:pPr>
        <w:spacing w:after="72"/>
      </w:pPr>
      <w:r>
        <w:separator/>
      </w:r>
    </w:p>
  </w:endnote>
  <w:endnote w:type="continuationSeparator" w:id="1">
    <w:p w:rsidR="00173EB1" w:rsidRDefault="00173EB1">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A191C">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EB1" w:rsidRDefault="00173EB1">
      <w:pPr>
        <w:spacing w:after="72"/>
      </w:pPr>
      <w:r>
        <w:separator/>
      </w:r>
    </w:p>
  </w:footnote>
  <w:footnote w:type="continuationSeparator" w:id="1">
    <w:p w:rsidR="00173EB1" w:rsidRDefault="00173EB1">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73EB1"/>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C752E"/>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191C"/>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69661035">
      <w:bodyDiv w:val="1"/>
      <w:marLeft w:val="0"/>
      <w:marRight w:val="0"/>
      <w:marTop w:val="0"/>
      <w:marBottom w:val="0"/>
      <w:divBdr>
        <w:top w:val="none" w:sz="0" w:space="0" w:color="auto"/>
        <w:left w:val="none" w:sz="0" w:space="0" w:color="auto"/>
        <w:bottom w:val="none" w:sz="0" w:space="0" w:color="auto"/>
        <w:right w:val="none" w:sz="0" w:space="0" w:color="auto"/>
      </w:divBdr>
    </w:div>
    <w:div w:id="589050173">
      <w:bodyDiv w:val="1"/>
      <w:marLeft w:val="0"/>
      <w:marRight w:val="0"/>
      <w:marTop w:val="0"/>
      <w:marBottom w:val="0"/>
      <w:divBdr>
        <w:top w:val="none" w:sz="0" w:space="0" w:color="auto"/>
        <w:left w:val="none" w:sz="0" w:space="0" w:color="auto"/>
        <w:bottom w:val="none" w:sz="0" w:space="0" w:color="auto"/>
        <w:right w:val="none" w:sz="0" w:space="0" w:color="auto"/>
      </w:divBdr>
    </w:div>
    <w:div w:id="759183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397</Words>
  <Characters>2266</Characters>
  <Application>Microsoft Office Word</Application>
  <DocSecurity>0</DocSecurity>
  <Lines>18</Lines>
  <Paragraphs>5</Paragraphs>
  <ScaleCrop>false</ScaleCrop>
  <Company>cc</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NJCB</cp:lastModifiedBy>
  <cp:revision>115</cp:revision>
  <dcterms:created xsi:type="dcterms:W3CDTF">2022-08-03T07:42:00Z</dcterms:created>
  <dcterms:modified xsi:type="dcterms:W3CDTF">2023-04-22T06:17:00Z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